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Liberation Serif" w:ascii="Arial" w:hAnsi="Arial"/>
          <w:sz w:val="28"/>
          <w:szCs w:val="28"/>
        </w:rPr>
      </w:r>
    </w:p>
    <w:tbl>
      <w:tblPr>
        <w:tblW w:w="9571" w:type="dxa"/>
        <w:jc w:val="left"/>
        <w:tblInd w:w="-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"/>
        <w:gridCol w:w="4606"/>
        <w:gridCol w:w="141"/>
        <w:gridCol w:w="4786"/>
      </w:tblGrid>
      <w:tr>
        <w:trPr/>
        <w:tc>
          <w:tcPr>
            <w:tcW w:w="3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06" w:type="dxa"/>
            <w:tcBorders/>
          </w:tcPr>
          <w:p>
            <w:pPr>
              <w:pStyle w:val="Normal"/>
              <w:overflowPunct w:val="false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927" w:type="dxa"/>
            <w:gridSpan w:val="2"/>
            <w:tcBorders/>
          </w:tcPr>
          <w:p>
            <w:pPr>
              <w:pStyle w:val="Normal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gridSpan w:val="3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78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ПРОЕКТ</w:t>
            </w:r>
          </w:p>
        </w:tc>
      </w:tr>
    </w:tbl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Liberation Serif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Liberation Serif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cs="Liberation Serif" w:ascii="Arial" w:hAnsi="Arial"/>
          <w:sz w:val="28"/>
          <w:szCs w:val="28"/>
        </w:rPr>
      </w:r>
    </w:p>
    <w:p>
      <w:pPr>
        <w:pStyle w:val="Normal"/>
        <w:ind w:firstLine="720"/>
        <w:jc w:val="center"/>
        <w:rPr>
          <w:rFonts w:ascii="Arial" w:hAnsi="Arial"/>
          <w:sz w:val="28"/>
          <w:szCs w:val="28"/>
        </w:rPr>
      </w:pPr>
      <w:r>
        <w:rPr>
          <w:rFonts w:cs="Liberation Serif" w:ascii="Arial" w:hAnsi="Arial"/>
          <w:b/>
          <w:i/>
          <w:sz w:val="28"/>
          <w:szCs w:val="28"/>
        </w:rPr>
        <w:t xml:space="preserve">О предоставлении мер имущественной поддержки юридическим лицам и индивидуальным предпринимателям на территории Качканарского городского округа </w:t>
      </w:r>
    </w:p>
    <w:p>
      <w:pPr>
        <w:pStyle w:val="12"/>
        <w:ind w:left="0" w:right="283" w:hanging="0"/>
        <w:rPr>
          <w:rFonts w:ascii="Arial" w:hAnsi="Arial" w:cs="Liberation Serif"/>
          <w:b/>
          <w:b/>
          <w:i/>
          <w:i/>
          <w:sz w:val="28"/>
          <w:szCs w:val="28"/>
        </w:rPr>
      </w:pPr>
      <w:r>
        <w:rPr>
          <w:rFonts w:cs="Liberation Serif" w:ascii="Arial" w:hAnsi="Arial"/>
          <w:b/>
          <w:i/>
          <w:sz w:val="28"/>
          <w:szCs w:val="28"/>
        </w:rPr>
      </w:r>
    </w:p>
    <w:p>
      <w:pPr>
        <w:pStyle w:val="Normal"/>
        <w:spacing w:lineRule="atLeast" w:line="200" w:before="0" w:after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Liberation Serif" w:ascii="Arial" w:hAnsi="Arial"/>
          <w:sz w:val="24"/>
          <w:szCs w:val="24"/>
          <w:lang w:bidi="ru-RU"/>
        </w:rPr>
        <w:t xml:space="preserve"> </w:t>
      </w:r>
      <w:r>
        <w:rPr>
          <w:rFonts w:cs="Liberation Serif" w:ascii="Arial" w:hAnsi="Arial"/>
          <w:sz w:val="24"/>
          <w:szCs w:val="24"/>
        </w:rPr>
        <w:t xml:space="preserve">В соответствии с пунктом «ж» пункта 1 Указа  Президента Российской Федерации от 16.03.2022 года № 121 «О мерах по обеспечению социально-экономической стабильности и защиты населения в Российской Федерации», пунктом 5 Указа Губернатора Свердловской области от 13.05.2022 № 228-УГ «О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санкций»,  в целях оказания адресной поддержки юридическим лицам и индивидуальным предпринимателям, осуществляющим деятельность на территории Качканарского городского округа, в связи с ухудшением экономической ситуации в результате введения в отношении Российской Федерации политических, экономических и иных санкций, </w:t>
      </w:r>
      <w:r>
        <w:rPr>
          <w:rFonts w:cs="Liberation Serif" w:ascii="Arial" w:hAnsi="Arial"/>
          <w:sz w:val="24"/>
          <w:szCs w:val="24"/>
          <w:lang w:bidi="ru-RU"/>
        </w:rPr>
        <w:t>руководствуясь Уставом Качканарского городского округа,  Дума Качканарского городского округа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" w:hAnsi="Arial" w:cs="Liberation Serif"/>
          <w:sz w:val="24"/>
          <w:szCs w:val="24"/>
          <w:lang w:bidi="ru-RU"/>
        </w:rPr>
      </w:pPr>
      <w:r>
        <w:rPr>
          <w:rFonts w:cs="Liberation Serif" w:ascii="Arial" w:hAnsi="Arial"/>
          <w:sz w:val="24"/>
          <w:szCs w:val="24"/>
          <w:lang w:bidi="ru-RU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  <w:t>РЕШИЛА:</w:t>
      </w:r>
    </w:p>
    <w:p>
      <w:pPr>
        <w:pStyle w:val="Normal"/>
        <w:jc w:val="both"/>
        <w:rPr>
          <w:rFonts w:ascii="Arial" w:hAnsi="Arial" w:cs="Liberation Serif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</w:r>
    </w:p>
    <w:p>
      <w:pPr>
        <w:pStyle w:val="Normal"/>
        <w:spacing w:lineRule="atLeast" w:line="280" w:before="0" w:after="1"/>
        <w:ind w:firstLine="709"/>
        <w:jc w:val="both"/>
        <w:rPr>
          <w:rFonts w:ascii="Arial" w:hAnsi="Arial"/>
          <w:sz w:val="24"/>
          <w:szCs w:val="24"/>
        </w:rPr>
      </w:pPr>
      <w:bookmarkStart w:id="0" w:name="P16"/>
      <w:bookmarkStart w:id="1" w:name="P18"/>
      <w:bookmarkEnd w:id="0"/>
      <w:bookmarkEnd w:id="1"/>
      <w:r>
        <w:rPr>
          <w:rFonts w:cs="Liberation Serif" w:ascii="Arial" w:hAnsi="Arial"/>
          <w:sz w:val="24"/>
          <w:szCs w:val="24"/>
        </w:rPr>
        <w:t>1. Предоставить юридическим лицам и индивидуальным предпринимателям, включенным в единый реестр субъектов малого и среднего предпринимательства, отсрочку уплаты платежей по договорам аренды объектов нежилого фонда Качканарского городского округа, заключенным до 01.01.2022  и уплата по которым предусмотрена в 2022 году.</w:t>
      </w:r>
    </w:p>
    <w:p>
      <w:pPr>
        <w:pStyle w:val="Normal"/>
        <w:spacing w:lineRule="atLeast" w:line="28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  <w:t>Отсрочка предоставляется на срок с 01.04.2022  по 30.09.2022 при условии, что задолженность по договорам аренды  подлежит уплате с 01.10.2022  по 31.12. 2022 года ежемесячно, равными платежами.</w:t>
      </w:r>
    </w:p>
    <w:p>
      <w:pPr>
        <w:pStyle w:val="Normal"/>
        <w:spacing w:lineRule="atLeast" w:line="280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Liberation Serif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  <w:t>2. Установить, что начисление пеней, штрафов, процентов за пользование чужими денежными средствами или иных мер ответственности в связи с несоблюдением порядка и сроков внесения платы в течение 2022 года, в том числе если такие меры предусмотрены договорами аренды объектов нежилого фонда Качканарского городского округа, договорами аренды земельных участков, находящихся в муниципальной  собственности Качканарского городского округа, и земельных участков, государственная собственность на которые не разграничена,  договорами на установку и эксплуатацию рекламных конструкций, не производится.</w:t>
      </w:r>
    </w:p>
    <w:p>
      <w:pPr>
        <w:pStyle w:val="Normal"/>
        <w:ind w:firstLine="540"/>
        <w:jc w:val="both"/>
        <w:rPr>
          <w:rFonts w:ascii="Arial" w:hAnsi="Arial" w:cs="Liberation Serif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  <w:t>3. Рекомендовать муниципальным учреждениям Качканарского городского округа, муниципальным унитарным предприятиям Качканарского городского округа  руководствоваться настоящим решением.</w:t>
      </w:r>
    </w:p>
    <w:p>
      <w:pPr>
        <w:pStyle w:val="Normal"/>
        <w:spacing w:lineRule="atLeast" w:line="280" w:before="280" w:after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  <w:t>4. Настоящее решение  вступает в силу на следующий день после его официального опубликования.</w:t>
      </w:r>
    </w:p>
    <w:p>
      <w:pPr>
        <w:pStyle w:val="Normal"/>
        <w:ind w:right="-2" w:firstLine="708"/>
        <w:jc w:val="both"/>
        <w:rPr>
          <w:rFonts w:ascii="Arial" w:hAnsi="Arial" w:cs="Liberation Serif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</w:r>
    </w:p>
    <w:p>
      <w:pPr>
        <w:pStyle w:val="Normal"/>
        <w:ind w:right="-2" w:firstLine="708"/>
        <w:jc w:val="both"/>
        <w:rPr>
          <w:rFonts w:ascii="Arial" w:hAnsi="Arial"/>
          <w:sz w:val="24"/>
          <w:szCs w:val="24"/>
        </w:rPr>
      </w:pPr>
      <w:r>
        <w:rPr>
          <w:rFonts w:cs="Liberation Serif" w:ascii="Arial" w:hAnsi="Arial"/>
          <w:sz w:val="24"/>
          <w:szCs w:val="24"/>
        </w:rPr>
        <w:t>5. Настоящее решение  опубликовать в газете «Качканарское время», обнародовать на сайте Качканарского городского округа в информационно-телекоммуникационной сети общего пользования «Интернет»</w:t>
      </w:r>
    </w:p>
    <w:p>
      <w:pPr>
        <w:pStyle w:val="Normal"/>
        <w:ind w:right="-2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7"/>
        <w:gridCol w:w="4496"/>
      </w:tblGrid>
      <w:tr>
        <w:trPr>
          <w:trHeight w:val="1265" w:hRule="atLeast"/>
        </w:trPr>
        <w:tc>
          <w:tcPr>
            <w:tcW w:w="496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  <w:t>Председатель Думы</w:t>
            </w:r>
          </w:p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  <w:t>городского округа</w:t>
            </w:r>
          </w:p>
          <w:p>
            <w:pPr>
              <w:pStyle w:val="Normal"/>
              <w:widowControl w:val="false"/>
              <w:rPr>
                <w:rFonts w:ascii="Arial" w:hAnsi="Arial" w:cs="Liberation Serif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  <w:t>_____________ Ю.Н. Бячков</w:t>
            </w:r>
          </w:p>
        </w:tc>
        <w:tc>
          <w:tcPr>
            <w:tcW w:w="449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  <w:t>Глава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  <w:t>городского округа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Liberation Serif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Liberation Serif" w:ascii="Arial" w:hAnsi="Arial"/>
                <w:sz w:val="24"/>
                <w:szCs w:val="24"/>
              </w:rPr>
              <w:t>____________ А.А. Ярославцев</w:t>
            </w:r>
          </w:p>
        </w:tc>
      </w:tr>
    </w:tbl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7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de672b"/>
    <w:pPr>
      <w:keepNext w:val="true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e672b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de672b"/>
    <w:rPr>
      <w:rFonts w:ascii="Tahoma" w:hAnsi="Tahoma" w:eastAsia="Times New Roman" w:cs="Tahoma"/>
      <w:sz w:val="16"/>
      <w:szCs w:val="16"/>
      <w:lang w:eastAsia="zh-CN"/>
    </w:rPr>
  </w:style>
  <w:style w:type="character" w:styleId="WW8Num1z0" w:customStyle="1">
    <w:name w:val="WW8Num1z0"/>
    <w:qFormat/>
    <w:rsid w:val="00de672b"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5600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5600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5600e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Цитата1"/>
    <w:basedOn w:val="Normal"/>
    <w:qFormat/>
    <w:rsid w:val="00de672b"/>
    <w:pPr>
      <w:ind w:left="284" w:right="283" w:firstLine="850"/>
      <w:jc w:val="both"/>
    </w:pPr>
    <w:rPr>
      <w:sz w:val="28"/>
      <w:szCs w:val="20"/>
    </w:rPr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Normal"/>
    <w:qFormat/>
    <w:rsid w:val="00de672b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de672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FB64-54C7-46F1-AE85-5C6C5C2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LibreOffice/7.2.0.4$Windows_X86_64 LibreOffice_project/9a9c6381e3f7a62afc1329bd359cc48accb6435b</Application>
  <AppVersion>15.0000</AppVersion>
  <Pages>2</Pages>
  <Words>331</Words>
  <Characters>2483</Characters>
  <CharactersWithSpaces>2812</CharactersWithSpaces>
  <Paragraphs>16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2022-06-27T09:42:00Z</dcterms:created>
  <dc:creator>o.adamchuk</dc:creator>
  <dc:description/>
  <dc:language>ru-RU</dc:language>
  <cp:lastModifiedBy>Дарья  Ложкина</cp:lastModifiedBy>
  <cp:lastPrinted>2022-06-27T09:41:00Z</cp:lastPrinted>
  <dcterms:modified xsi:type="dcterms:W3CDTF">2022-08-11T12:26:44Z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